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F7" w:rsidRPr="000000F7" w:rsidRDefault="000000F7" w:rsidP="000000F7">
      <w:pPr>
        <w:spacing w:after="0" w:line="240" w:lineRule="auto"/>
        <w:textAlignment w:val="baseline"/>
        <w:outlineLvl w:val="0"/>
        <w:rPr>
          <w:rFonts w:ascii="Arial" w:eastAsia="Times New Roman" w:hAnsi="Arial" w:cs="Arial"/>
          <w:color w:val="7C9C19"/>
          <w:kern w:val="36"/>
          <w:sz w:val="40"/>
          <w:szCs w:val="40"/>
          <w:lang w:eastAsia="en-GB"/>
        </w:rPr>
      </w:pPr>
      <w:r w:rsidRPr="000000F7">
        <w:rPr>
          <w:rFonts w:ascii="inherit" w:eastAsia="Times New Roman" w:hAnsi="inherit" w:cs="Arial"/>
          <w:color w:val="7C9C19"/>
          <w:kern w:val="36"/>
          <w:sz w:val="40"/>
          <w:szCs w:val="40"/>
          <w:bdr w:val="none" w:sz="0" w:space="0" w:color="auto" w:frame="1"/>
          <w:lang w:eastAsia="en-GB"/>
        </w:rPr>
        <w:t>Inheritance Tax - Guide to Rates, Concessions &amp; Allowances</w:t>
      </w:r>
    </w:p>
    <w:p w:rsidR="000000F7" w:rsidRPr="000000F7" w:rsidRDefault="000000F7" w:rsidP="000000F7">
      <w:pPr>
        <w:spacing w:after="60" w:line="240" w:lineRule="auto"/>
        <w:textAlignment w:val="baseline"/>
        <w:rPr>
          <w:rFonts w:ascii="inherit" w:eastAsia="Times New Roman" w:hAnsi="inherit" w:cs="Arial"/>
          <w:color w:val="706F6F"/>
          <w:sz w:val="18"/>
          <w:szCs w:val="18"/>
          <w:lang w:eastAsia="en-GB"/>
        </w:rPr>
      </w:pPr>
      <w:r w:rsidRPr="000000F7">
        <w:rPr>
          <w:rFonts w:ascii="inherit" w:eastAsia="Times New Roman" w:hAnsi="inherit" w:cs="Arial"/>
          <w:noProof/>
          <w:color w:val="0000FF"/>
          <w:sz w:val="18"/>
          <w:szCs w:val="18"/>
          <w:bdr w:val="none" w:sz="0" w:space="0" w:color="auto" w:frame="1"/>
          <w:lang w:eastAsia="en-GB"/>
        </w:rPr>
        <w:drawing>
          <wp:anchor distT="0" distB="0" distL="114300" distR="114300" simplePos="0" relativeHeight="251658240" behindDoc="0" locked="0" layoutInCell="1" allowOverlap="1">
            <wp:simplePos x="361950" y="647700"/>
            <wp:positionH relativeFrom="column">
              <wp:align>left</wp:align>
            </wp:positionH>
            <wp:positionV relativeFrom="paragraph">
              <wp:align>top</wp:align>
            </wp:positionV>
            <wp:extent cx="2000250" cy="1333500"/>
            <wp:effectExtent l="0" t="0" r="0" b="0"/>
            <wp:wrapSquare wrapText="bothSides"/>
            <wp:docPr id="1" name="image_8085944" descr="INHERITANCE TAX GUIDE BY CIS TAX REFUND SPECIALISTS - CIS MADE EAS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8085944" descr="INHERITANCE TAX GUIDE BY CIS TAX REFUND SPECIALISTS - CIS MADE EAS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anchor>
        </w:drawing>
      </w:r>
      <w:r w:rsidRPr="000000F7">
        <w:rPr>
          <w:rFonts w:ascii="inherit" w:eastAsia="Times New Roman" w:hAnsi="inherit" w:cs="Arial"/>
          <w:color w:val="706F6F"/>
          <w:sz w:val="18"/>
          <w:szCs w:val="18"/>
          <w:lang w:eastAsia="en-GB"/>
        </w:rPr>
        <w:t> </w:t>
      </w:r>
    </w:p>
    <w:p w:rsidR="000000F7" w:rsidRPr="000000F7" w:rsidRDefault="000000F7" w:rsidP="000000F7">
      <w:pPr>
        <w:spacing w:after="0" w:line="240" w:lineRule="auto"/>
        <w:jc w:val="center"/>
        <w:textAlignment w:val="baseline"/>
        <w:rPr>
          <w:rFonts w:ascii="inherit" w:eastAsia="Times New Roman" w:hAnsi="inherit" w:cs="Arial"/>
          <w:color w:val="706F6F"/>
          <w:sz w:val="18"/>
          <w:szCs w:val="18"/>
          <w:lang w:eastAsia="en-GB"/>
        </w:rPr>
      </w:pPr>
      <w:r w:rsidRPr="000000F7">
        <w:rPr>
          <w:rFonts w:ascii="inherit" w:eastAsia="Times New Roman" w:hAnsi="inherit" w:cs="Arial"/>
          <w:color w:val="706F6F"/>
          <w:sz w:val="18"/>
          <w:szCs w:val="18"/>
          <w:lang w:eastAsia="en-GB"/>
        </w:rPr>
        <w:t> </w:t>
      </w:r>
    </w:p>
    <w:p w:rsidR="000000F7" w:rsidRDefault="000000F7" w:rsidP="000000F7">
      <w:pPr>
        <w:spacing w:after="0" w:line="240" w:lineRule="auto"/>
        <w:textAlignment w:val="baseline"/>
        <w:rPr>
          <w:rFonts w:ascii="inherit" w:eastAsia="Times New Roman" w:hAnsi="inherit" w:cs="Arial"/>
          <w:b/>
          <w:bCs/>
          <w:i/>
          <w:iCs/>
          <w:color w:val="000000"/>
          <w:bdr w:val="none" w:sz="0" w:space="0" w:color="auto" w:frame="1"/>
          <w:lang w:eastAsia="en-GB"/>
        </w:rPr>
      </w:pPr>
      <w:r w:rsidRPr="000000F7">
        <w:rPr>
          <w:rFonts w:ascii="inherit" w:eastAsia="Times New Roman" w:hAnsi="inherit" w:cs="Arial"/>
          <w:b/>
          <w:bCs/>
          <w:i/>
          <w:iCs/>
          <w:color w:val="000000"/>
          <w:bdr w:val="none" w:sz="0" w:space="0" w:color="auto" w:frame="1"/>
          <w:lang w:eastAsia="en-GB"/>
        </w:rPr>
        <w:t>If your Estate or that of your spouse or civil partner is likely to exceed the nil rate band (currently £325,000) then it's a good idea to plan well in advance to take full advantage of the allowances available.</w:t>
      </w:r>
    </w:p>
    <w:p w:rsidR="000000F7" w:rsidRDefault="000000F7" w:rsidP="000000F7">
      <w:pPr>
        <w:spacing w:after="0" w:line="240" w:lineRule="auto"/>
        <w:textAlignment w:val="baseline"/>
        <w:rPr>
          <w:rFonts w:ascii="inherit" w:eastAsia="Times New Roman" w:hAnsi="inherit" w:cs="Arial"/>
          <w:b/>
          <w:bCs/>
          <w:i/>
          <w:iCs/>
          <w:color w:val="000000"/>
          <w:bdr w:val="none" w:sz="0" w:space="0" w:color="auto" w:frame="1"/>
          <w:lang w:eastAsia="en-GB"/>
        </w:rPr>
      </w:pPr>
    </w:p>
    <w:p w:rsidR="000000F7" w:rsidRPr="000000F7" w:rsidRDefault="000000F7" w:rsidP="000000F7">
      <w:pPr>
        <w:spacing w:after="0" w:line="240" w:lineRule="auto"/>
        <w:textAlignment w:val="baseline"/>
        <w:rPr>
          <w:rFonts w:ascii="inherit" w:eastAsia="Times New Roman" w:hAnsi="inherit" w:cs="Arial"/>
          <w:b/>
          <w:bCs/>
          <w:i/>
          <w:iCs/>
          <w:color w:val="000000"/>
          <w:bdr w:val="none" w:sz="0" w:space="0" w:color="auto" w:frame="1"/>
          <w:lang w:eastAsia="en-GB"/>
        </w:rPr>
      </w:pPr>
    </w:p>
    <w:p w:rsidR="000000F7" w:rsidRPr="000000F7" w:rsidRDefault="000000F7" w:rsidP="000000F7">
      <w:pPr>
        <w:spacing w:after="0" w:line="240" w:lineRule="auto"/>
        <w:textAlignment w:val="baseline"/>
        <w:rPr>
          <w:rFonts w:ascii="inherit" w:eastAsia="Times New Roman" w:hAnsi="inherit" w:cs="Arial"/>
          <w:color w:val="706F6F"/>
          <w:lang w:eastAsia="en-GB"/>
        </w:rPr>
      </w:pPr>
    </w:p>
    <w:p w:rsidR="000000F7" w:rsidRDefault="000000F7" w:rsidP="000000F7">
      <w:pPr>
        <w:spacing w:after="0" w:line="240" w:lineRule="auto"/>
        <w:textAlignment w:val="baseline"/>
        <w:rPr>
          <w:rFonts w:ascii="inherit" w:eastAsia="Times New Roman" w:hAnsi="inherit" w:cs="Arial"/>
          <w:b/>
          <w:bCs/>
          <w:color w:val="000000"/>
          <w:bdr w:val="none" w:sz="0" w:space="0" w:color="auto" w:frame="1"/>
          <w:lang w:eastAsia="en-GB"/>
        </w:rPr>
      </w:pPr>
    </w:p>
    <w:p w:rsidR="000000F7" w:rsidRPr="000000F7" w:rsidRDefault="000000F7" w:rsidP="000000F7">
      <w:pPr>
        <w:spacing w:after="0"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The Office for National Statistics (ONS) reports that in 2010-11 over 250,000 estates went through probate (nearly half of deaths in that year) and over 15,000 gave rise to an Inheritance Tax (IHT) liability. If your estate or that of your spouse or civil partner exceeds the nil rate band there is likely to be a charge to tax. The following table shows the current band and tax rates:-</w:t>
      </w:r>
    </w:p>
    <w:p w:rsidR="000000F7" w:rsidRPr="000000F7" w:rsidRDefault="000000F7" w:rsidP="000000F7">
      <w:pPr>
        <w:spacing w:after="0" w:line="240" w:lineRule="auto"/>
        <w:textAlignment w:val="baseline"/>
        <w:rPr>
          <w:rFonts w:ascii="Arial" w:eastAsia="Times New Roman" w:hAnsi="Arial" w:cs="Arial"/>
          <w:color w:val="706F6F"/>
          <w:sz w:val="18"/>
          <w:szCs w:val="18"/>
          <w:lang w:eastAsia="en-GB"/>
        </w:rPr>
      </w:pPr>
      <w:r w:rsidRPr="000000F7">
        <w:rPr>
          <w:rFonts w:ascii="inherit" w:eastAsia="Times New Roman" w:hAnsi="inherit" w:cs="Arial"/>
          <w:b/>
          <w:bCs/>
          <w:color w:val="000000"/>
          <w:sz w:val="18"/>
          <w:szCs w:val="18"/>
          <w:bdr w:val="none" w:sz="0" w:space="0" w:color="auto" w:frame="1"/>
          <w:lang w:eastAsia="en-GB"/>
        </w:rPr>
        <w:br/>
      </w:r>
    </w:p>
    <w:tbl>
      <w:tblPr>
        <w:tblW w:w="0" w:type="auto"/>
        <w:tblCellSpacing w:w="0" w:type="dxa"/>
        <w:tblCellMar>
          <w:left w:w="0" w:type="dxa"/>
          <w:right w:w="0" w:type="dxa"/>
        </w:tblCellMar>
        <w:tblLook w:val="04A0" w:firstRow="1" w:lastRow="0" w:firstColumn="1" w:lastColumn="0" w:noHBand="0" w:noVBand="1"/>
      </w:tblPr>
      <w:tblGrid>
        <w:gridCol w:w="3904"/>
        <w:gridCol w:w="1530"/>
        <w:gridCol w:w="1770"/>
      </w:tblGrid>
      <w:tr w:rsidR="000000F7" w:rsidRPr="000000F7" w:rsidTr="000000F7">
        <w:trPr>
          <w:tblCellSpacing w:w="0" w:type="dxa"/>
        </w:trPr>
        <w:tc>
          <w:tcPr>
            <w:tcW w:w="0" w:type="auto"/>
            <w:gridSpan w:val="3"/>
            <w:tcBorders>
              <w:top w:val="single" w:sz="6" w:space="0" w:color="FFFFFF"/>
              <w:left w:val="single" w:sz="6" w:space="0" w:color="FFFFFF"/>
              <w:bottom w:val="single" w:sz="6" w:space="0" w:color="FFFFFF"/>
              <w:right w:val="single" w:sz="6" w:space="0" w:color="FFFFFF"/>
            </w:tcBorders>
            <w:shd w:val="clear" w:color="auto" w:fill="99CCCC"/>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Chargeable transfers on or within seven years of death</w:t>
            </w:r>
          </w:p>
        </w:tc>
      </w:tr>
      <w:tr w:rsidR="000000F7" w:rsidRPr="000000F7" w:rsidTr="000000F7">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99CCCC"/>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sz w:val="24"/>
                <w:szCs w:val="24"/>
                <w:lang w:eastAsia="en-GB"/>
              </w:rPr>
              <w:t> </w:t>
            </w:r>
          </w:p>
        </w:tc>
        <w:tc>
          <w:tcPr>
            <w:tcW w:w="0" w:type="auto"/>
            <w:tcBorders>
              <w:top w:val="single" w:sz="6" w:space="0" w:color="FFFFFF"/>
              <w:left w:val="single" w:sz="6" w:space="0" w:color="FFFFFF"/>
              <w:bottom w:val="single" w:sz="6" w:space="0" w:color="FFFFFF"/>
              <w:right w:val="single" w:sz="6" w:space="0" w:color="FFFFFF"/>
            </w:tcBorders>
            <w:shd w:val="clear" w:color="auto" w:fill="99CCCC"/>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201</w:t>
            </w:r>
            <w:r>
              <w:rPr>
                <w:rFonts w:ascii="inherit" w:eastAsia="Times New Roman" w:hAnsi="inherit" w:cs="Times New Roman"/>
                <w:b/>
                <w:bCs/>
                <w:color w:val="000000"/>
                <w:sz w:val="24"/>
                <w:szCs w:val="24"/>
                <w:bdr w:val="none" w:sz="0" w:space="0" w:color="auto" w:frame="1"/>
                <w:lang w:eastAsia="en-GB"/>
              </w:rPr>
              <w:t>4</w:t>
            </w:r>
            <w:r w:rsidRPr="000000F7">
              <w:rPr>
                <w:rFonts w:ascii="inherit" w:eastAsia="Times New Roman" w:hAnsi="inherit" w:cs="Times New Roman"/>
                <w:b/>
                <w:bCs/>
                <w:color w:val="000000"/>
                <w:sz w:val="24"/>
                <w:szCs w:val="24"/>
                <w:bdr w:val="none" w:sz="0" w:space="0" w:color="auto" w:frame="1"/>
                <w:lang w:eastAsia="en-GB"/>
              </w:rPr>
              <w:t>/1</w:t>
            </w:r>
            <w:r>
              <w:rPr>
                <w:rFonts w:ascii="inherit" w:eastAsia="Times New Roman" w:hAnsi="inherit" w:cs="Times New Roman"/>
                <w:b/>
                <w:bCs/>
                <w:color w:val="000000"/>
                <w:sz w:val="24"/>
                <w:szCs w:val="24"/>
                <w:bdr w:val="none" w:sz="0" w:space="0" w:color="auto" w:frame="1"/>
                <w:lang w:eastAsia="en-GB"/>
              </w:rPr>
              <w:t>5</w:t>
            </w:r>
          </w:p>
        </w:tc>
        <w:tc>
          <w:tcPr>
            <w:tcW w:w="0" w:type="auto"/>
            <w:tcBorders>
              <w:top w:val="single" w:sz="6" w:space="0" w:color="FFFFFF"/>
              <w:left w:val="single" w:sz="6" w:space="0" w:color="FFFFFF"/>
              <w:bottom w:val="single" w:sz="6" w:space="0" w:color="FFFFFF"/>
              <w:right w:val="single" w:sz="6" w:space="0" w:color="FFFFFF"/>
            </w:tcBorders>
            <w:shd w:val="clear" w:color="auto" w:fill="99CCCC"/>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201</w:t>
            </w:r>
            <w:r>
              <w:rPr>
                <w:rFonts w:ascii="inherit" w:eastAsia="Times New Roman" w:hAnsi="inherit" w:cs="Times New Roman"/>
                <w:b/>
                <w:bCs/>
                <w:color w:val="000000"/>
                <w:sz w:val="24"/>
                <w:szCs w:val="24"/>
                <w:bdr w:val="none" w:sz="0" w:space="0" w:color="auto" w:frame="1"/>
                <w:lang w:eastAsia="en-GB"/>
              </w:rPr>
              <w:t>3</w:t>
            </w:r>
            <w:r w:rsidRPr="000000F7">
              <w:rPr>
                <w:rFonts w:ascii="inherit" w:eastAsia="Times New Roman" w:hAnsi="inherit" w:cs="Times New Roman"/>
                <w:b/>
                <w:bCs/>
                <w:color w:val="000000"/>
                <w:sz w:val="24"/>
                <w:szCs w:val="24"/>
                <w:bdr w:val="none" w:sz="0" w:space="0" w:color="auto" w:frame="1"/>
                <w:lang w:eastAsia="en-GB"/>
              </w:rPr>
              <w:t>/1</w:t>
            </w:r>
            <w:r>
              <w:rPr>
                <w:rFonts w:ascii="inherit" w:eastAsia="Times New Roman" w:hAnsi="inherit" w:cs="Times New Roman"/>
                <w:b/>
                <w:bCs/>
                <w:color w:val="000000"/>
                <w:sz w:val="24"/>
                <w:szCs w:val="24"/>
                <w:bdr w:val="none" w:sz="0" w:space="0" w:color="auto" w:frame="1"/>
                <w:lang w:eastAsia="en-GB"/>
              </w:rPr>
              <w:t>4</w:t>
            </w:r>
          </w:p>
        </w:tc>
      </w:tr>
      <w:tr w:rsidR="000000F7" w:rsidRPr="000000F7" w:rsidTr="000000F7">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Nil rate band up to </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£325,000    </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color w:val="000000"/>
                <w:sz w:val="24"/>
                <w:szCs w:val="24"/>
                <w:bdr w:val="none" w:sz="0" w:space="0" w:color="auto" w:frame="1"/>
                <w:lang w:eastAsia="en-GB"/>
              </w:rPr>
              <w:t>      £325,000        </w:t>
            </w:r>
          </w:p>
        </w:tc>
      </w:tr>
      <w:tr w:rsidR="000000F7" w:rsidRPr="000000F7" w:rsidTr="000000F7">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Rate of tax on remaining balance      </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40%</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color w:val="000000"/>
                <w:sz w:val="24"/>
                <w:szCs w:val="24"/>
                <w:bdr w:val="none" w:sz="0" w:space="0" w:color="auto" w:frame="1"/>
                <w:lang w:eastAsia="en-GB"/>
              </w:rPr>
              <w:t> 40%</w:t>
            </w:r>
          </w:p>
        </w:tc>
      </w:tr>
      <w:tr w:rsidR="000000F7" w:rsidRPr="000000F7" w:rsidTr="000000F7">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Chargeable lifetime transfers</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20%</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color w:val="000000"/>
                <w:sz w:val="24"/>
                <w:szCs w:val="24"/>
                <w:bdr w:val="none" w:sz="0" w:space="0" w:color="auto" w:frame="1"/>
                <w:lang w:eastAsia="en-GB"/>
              </w:rPr>
              <w:t>20%</w:t>
            </w:r>
          </w:p>
        </w:tc>
      </w:tr>
      <w:tr w:rsidR="000000F7" w:rsidRPr="000000F7" w:rsidTr="000000F7">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Reduced rate *</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36%</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color w:val="000000"/>
                <w:sz w:val="24"/>
                <w:szCs w:val="24"/>
                <w:bdr w:val="none" w:sz="0" w:space="0" w:color="auto" w:frame="1"/>
                <w:lang w:eastAsia="en-GB"/>
              </w:rPr>
              <w:t>36%</w:t>
            </w:r>
          </w:p>
        </w:tc>
      </w:tr>
    </w:tbl>
    <w:p w:rsidR="000000F7" w:rsidRPr="000000F7" w:rsidRDefault="000000F7" w:rsidP="000000F7">
      <w:pPr>
        <w:spacing w:after="0" w:line="240" w:lineRule="auto"/>
        <w:textAlignment w:val="baseline"/>
        <w:rPr>
          <w:rFonts w:ascii="inherit" w:eastAsia="Times New Roman" w:hAnsi="inherit" w:cs="Arial"/>
          <w:color w:val="706F6F"/>
          <w:sz w:val="18"/>
          <w:szCs w:val="18"/>
          <w:lang w:eastAsia="en-GB"/>
        </w:rPr>
      </w:pPr>
      <w:r w:rsidRPr="000000F7">
        <w:rPr>
          <w:rFonts w:ascii="inherit" w:eastAsia="Times New Roman" w:hAnsi="inherit" w:cs="Arial"/>
          <w:color w:val="706F6F"/>
          <w:sz w:val="18"/>
          <w:szCs w:val="18"/>
          <w:lang w:eastAsia="en-GB"/>
        </w:rPr>
        <w:t> </w:t>
      </w:r>
    </w:p>
    <w:p w:rsidR="000000F7" w:rsidRPr="000000F7" w:rsidRDefault="000000F7" w:rsidP="000000F7">
      <w:pPr>
        <w:spacing w:after="0"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If a spouse or civil partner pre-deceases you and their estate gave rise to unused nil rate band allowance, it is possible to transfer the unused nil rate allowance to your estate. </w:t>
      </w:r>
    </w:p>
    <w:p w:rsidR="000000F7" w:rsidRPr="000000F7" w:rsidRDefault="000000F7" w:rsidP="000000F7">
      <w:pPr>
        <w:spacing w:after="0" w:line="240" w:lineRule="auto"/>
        <w:textAlignment w:val="baseline"/>
        <w:rPr>
          <w:rFonts w:ascii="Arial" w:eastAsia="Times New Roman" w:hAnsi="Arial" w:cs="Arial"/>
          <w:color w:val="706F6F"/>
          <w:lang w:eastAsia="en-GB"/>
        </w:rPr>
      </w:pPr>
      <w:r w:rsidRPr="000000F7">
        <w:rPr>
          <w:rFonts w:ascii="Arial" w:eastAsia="Times New Roman" w:hAnsi="Arial" w:cs="Arial"/>
          <w:color w:val="706F6F"/>
          <w:lang w:eastAsia="en-GB"/>
        </w:rPr>
        <w:t> </w:t>
      </w:r>
    </w:p>
    <w:p w:rsidR="000000F7" w:rsidRPr="000000F7" w:rsidRDefault="000000F7" w:rsidP="000000F7">
      <w:pPr>
        <w:spacing w:after="0"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There are a number of exemptions and allowances for lifetime gifts or transfers:-</w:t>
      </w:r>
    </w:p>
    <w:p w:rsidR="000000F7" w:rsidRPr="000000F7" w:rsidRDefault="000000F7" w:rsidP="000000F7">
      <w:pPr>
        <w:numPr>
          <w:ilvl w:val="0"/>
          <w:numId w:val="1"/>
        </w:numPr>
        <w:spacing w:beforeAutospacing="1" w:after="0" w:afterAutospacing="1"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The majority of transfers between spouses and between civil partners.</w:t>
      </w:r>
    </w:p>
    <w:p w:rsidR="000000F7" w:rsidRPr="000000F7" w:rsidRDefault="000000F7" w:rsidP="000000F7">
      <w:pPr>
        <w:numPr>
          <w:ilvl w:val="0"/>
          <w:numId w:val="1"/>
        </w:numPr>
        <w:spacing w:beforeAutospacing="1" w:after="0" w:afterAutospacing="1"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In any tax year the first £3,000 of lifetime transfers, in addition you can carry over any unused allowance from the previous tax year.</w:t>
      </w:r>
    </w:p>
    <w:p w:rsidR="000000F7" w:rsidRPr="000000F7" w:rsidRDefault="000000F7" w:rsidP="000000F7">
      <w:pPr>
        <w:numPr>
          <w:ilvl w:val="0"/>
          <w:numId w:val="1"/>
        </w:numPr>
        <w:spacing w:beforeAutospacing="1" w:after="0" w:afterAutospacing="1"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Gifts to any number of individuals provided each individual gift does not exceed £250.</w:t>
      </w:r>
    </w:p>
    <w:p w:rsidR="000000F7" w:rsidRPr="000000F7" w:rsidRDefault="000000F7" w:rsidP="000000F7">
      <w:pPr>
        <w:numPr>
          <w:ilvl w:val="0"/>
          <w:numId w:val="1"/>
        </w:numPr>
        <w:spacing w:beforeAutospacing="1" w:after="0" w:afterAutospacing="1" w:line="240" w:lineRule="auto"/>
        <w:textAlignment w:val="baseline"/>
        <w:rPr>
          <w:rFonts w:ascii="Arial" w:eastAsia="Times New Roman" w:hAnsi="Arial" w:cs="Arial"/>
          <w:color w:val="706F6F"/>
          <w:lang w:eastAsia="en-GB"/>
        </w:rPr>
      </w:pPr>
      <w:proofErr w:type="gramStart"/>
      <w:r w:rsidRPr="000000F7">
        <w:rPr>
          <w:rFonts w:ascii="inherit" w:eastAsia="Times New Roman" w:hAnsi="inherit" w:cs="Arial"/>
          <w:b/>
          <w:bCs/>
          <w:color w:val="000000"/>
          <w:bdr w:val="none" w:sz="0" w:space="0" w:color="auto" w:frame="1"/>
          <w:lang w:eastAsia="en-GB"/>
        </w:rPr>
        <w:t>a</w:t>
      </w:r>
      <w:proofErr w:type="gramEnd"/>
      <w:r w:rsidRPr="000000F7">
        <w:rPr>
          <w:rFonts w:ascii="inherit" w:eastAsia="Times New Roman" w:hAnsi="inherit" w:cs="Arial"/>
          <w:b/>
          <w:bCs/>
          <w:color w:val="000000"/>
          <w:bdr w:val="none" w:sz="0" w:space="0" w:color="auto" w:frame="1"/>
          <w:lang w:eastAsia="en-GB"/>
        </w:rPr>
        <w:t xml:space="preserve"> parent may make a gift to a child in consideration of marriage or civil par</w:t>
      </w:r>
      <w:r w:rsidR="0034171B">
        <w:rPr>
          <w:rFonts w:ascii="inherit" w:eastAsia="Times New Roman" w:hAnsi="inherit" w:cs="Arial"/>
          <w:b/>
          <w:bCs/>
          <w:color w:val="000000"/>
          <w:bdr w:val="none" w:sz="0" w:space="0" w:color="auto" w:frame="1"/>
          <w:lang w:eastAsia="en-GB"/>
        </w:rPr>
        <w:t>t</w:t>
      </w:r>
      <w:r w:rsidRPr="000000F7">
        <w:rPr>
          <w:rFonts w:ascii="inherit" w:eastAsia="Times New Roman" w:hAnsi="inherit" w:cs="Arial"/>
          <w:b/>
          <w:bCs/>
          <w:color w:val="000000"/>
          <w:bdr w:val="none" w:sz="0" w:space="0" w:color="auto" w:frame="1"/>
          <w:lang w:eastAsia="en-GB"/>
        </w:rPr>
        <w:t>nership up to the value of £5,000, a grandparent up to the value of £2,500 and any other person up to £1,000.</w:t>
      </w:r>
    </w:p>
    <w:p w:rsidR="000000F7" w:rsidRPr="000000F7" w:rsidRDefault="000000F7" w:rsidP="000000F7">
      <w:pPr>
        <w:numPr>
          <w:ilvl w:val="0"/>
          <w:numId w:val="1"/>
        </w:numPr>
        <w:spacing w:beforeAutospacing="1" w:after="0" w:afterAutospacing="1"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Gifts that are made out of income and form part of normal expenditure are not chargeable provided that they do not reduce the standard of living of the person making the gift.</w:t>
      </w:r>
    </w:p>
    <w:p w:rsidR="000000F7" w:rsidRPr="000000F7" w:rsidRDefault="000000F7" w:rsidP="000000F7">
      <w:pPr>
        <w:numPr>
          <w:ilvl w:val="0"/>
          <w:numId w:val="1"/>
        </w:numPr>
        <w:spacing w:beforeAutospacing="1" w:after="0" w:afterAutospacing="1"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Charitable gifts made on death or during deceased's lifetime.</w:t>
      </w:r>
    </w:p>
    <w:p w:rsidR="000000F7" w:rsidRPr="000000F7" w:rsidRDefault="000000F7" w:rsidP="000000F7">
      <w:pPr>
        <w:numPr>
          <w:ilvl w:val="0"/>
          <w:numId w:val="1"/>
        </w:numPr>
        <w:spacing w:beforeAutospacing="1" w:after="0" w:afterAutospacing="1"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Donations to qualifying political parties.</w:t>
      </w:r>
    </w:p>
    <w:p w:rsidR="000000F7" w:rsidRPr="000000F7" w:rsidRDefault="000000F7" w:rsidP="000000F7">
      <w:pPr>
        <w:numPr>
          <w:ilvl w:val="0"/>
          <w:numId w:val="1"/>
        </w:numPr>
        <w:spacing w:beforeAutospacing="1" w:after="0" w:afterAutospacing="1"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If 10% or more of the net estate of the individual is gifted to charity, then the reduced rate (currently 36%) will apply to the taxable portion of the estate. * </w:t>
      </w:r>
      <w:r w:rsidRPr="000000F7">
        <w:rPr>
          <w:rFonts w:ascii="Arial" w:eastAsia="Times New Roman" w:hAnsi="Arial" w:cs="Arial"/>
          <w:color w:val="706F6F"/>
          <w:lang w:eastAsia="en-GB"/>
        </w:rPr>
        <w:t> </w:t>
      </w:r>
    </w:p>
    <w:p w:rsidR="000000F7" w:rsidRPr="000000F7" w:rsidRDefault="000000F7" w:rsidP="000000F7">
      <w:pPr>
        <w:spacing w:after="0" w:line="240" w:lineRule="auto"/>
        <w:textAlignment w:val="baseline"/>
        <w:rPr>
          <w:rFonts w:ascii="Arial" w:eastAsia="Times New Roman" w:hAnsi="Arial" w:cs="Arial"/>
          <w:color w:val="706F6F"/>
          <w:sz w:val="18"/>
          <w:szCs w:val="18"/>
          <w:lang w:eastAsia="en-GB"/>
        </w:rPr>
      </w:pPr>
      <w:r w:rsidRPr="000000F7">
        <w:rPr>
          <w:rFonts w:ascii="Arial" w:eastAsia="Times New Roman" w:hAnsi="Arial" w:cs="Arial"/>
          <w:b/>
          <w:bCs/>
          <w:color w:val="706F6F"/>
          <w:sz w:val="18"/>
          <w:szCs w:val="18"/>
          <w:lang w:eastAsia="en-GB"/>
        </w:rPr>
        <w:t> </w:t>
      </w:r>
    </w:p>
    <w:tbl>
      <w:tblPr>
        <w:tblW w:w="0" w:type="auto"/>
        <w:tblCellSpacing w:w="0" w:type="dxa"/>
        <w:tblCellMar>
          <w:left w:w="0" w:type="dxa"/>
          <w:right w:w="0" w:type="dxa"/>
        </w:tblCellMar>
        <w:tblLook w:val="04A0" w:firstRow="1" w:lastRow="0" w:firstColumn="1" w:lastColumn="0" w:noHBand="0" w:noVBand="1"/>
      </w:tblPr>
      <w:tblGrid>
        <w:gridCol w:w="2277"/>
        <w:gridCol w:w="1050"/>
        <w:gridCol w:w="950"/>
        <w:gridCol w:w="890"/>
        <w:gridCol w:w="830"/>
        <w:gridCol w:w="930"/>
      </w:tblGrid>
      <w:tr w:rsidR="000000F7" w:rsidRPr="000000F7" w:rsidTr="000000F7">
        <w:trPr>
          <w:tblCellSpacing w:w="0" w:type="dxa"/>
        </w:trPr>
        <w:tc>
          <w:tcPr>
            <w:tcW w:w="0" w:type="auto"/>
            <w:gridSpan w:val="6"/>
            <w:tcBorders>
              <w:top w:val="single" w:sz="6" w:space="0" w:color="FFFFFF"/>
              <w:left w:val="single" w:sz="6" w:space="0" w:color="FFFFFF"/>
              <w:bottom w:val="single" w:sz="6" w:space="0" w:color="FFFFFF"/>
              <w:right w:val="single" w:sz="6" w:space="0" w:color="FFFFFF"/>
            </w:tcBorders>
            <w:shd w:val="clear" w:color="auto" w:fill="99CCCC"/>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Chargeable transfers within seven years of death</w:t>
            </w:r>
          </w:p>
        </w:tc>
      </w:tr>
      <w:tr w:rsidR="000000F7" w:rsidRPr="000000F7" w:rsidTr="000000F7">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99CCCC"/>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Years before death   </w:t>
            </w:r>
          </w:p>
        </w:tc>
        <w:tc>
          <w:tcPr>
            <w:tcW w:w="0" w:type="auto"/>
            <w:tcBorders>
              <w:top w:val="single" w:sz="6" w:space="0" w:color="FFFFFF"/>
              <w:left w:val="single" w:sz="6" w:space="0" w:color="FFFFFF"/>
              <w:bottom w:val="single" w:sz="6" w:space="0" w:color="FFFFFF"/>
              <w:right w:val="single" w:sz="6" w:space="0" w:color="FFFFFF"/>
            </w:tcBorders>
            <w:shd w:val="clear" w:color="auto" w:fill="99CCCC"/>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0 -3</w:t>
            </w:r>
          </w:p>
        </w:tc>
        <w:tc>
          <w:tcPr>
            <w:tcW w:w="0" w:type="auto"/>
            <w:tcBorders>
              <w:top w:val="single" w:sz="6" w:space="0" w:color="FFFFFF"/>
              <w:left w:val="single" w:sz="6" w:space="0" w:color="FFFFFF"/>
              <w:bottom w:val="single" w:sz="6" w:space="0" w:color="FFFFFF"/>
              <w:right w:val="single" w:sz="6" w:space="0" w:color="FFFFFF"/>
            </w:tcBorders>
            <w:shd w:val="clear" w:color="auto" w:fill="99CCCC"/>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3 - 4    </w:t>
            </w:r>
          </w:p>
        </w:tc>
        <w:tc>
          <w:tcPr>
            <w:tcW w:w="0" w:type="auto"/>
            <w:tcBorders>
              <w:top w:val="single" w:sz="6" w:space="0" w:color="FFFFFF"/>
              <w:left w:val="single" w:sz="6" w:space="0" w:color="FFFFFF"/>
              <w:bottom w:val="single" w:sz="6" w:space="0" w:color="FFFFFF"/>
              <w:right w:val="single" w:sz="6" w:space="0" w:color="FFFFFF"/>
            </w:tcBorders>
            <w:shd w:val="clear" w:color="auto" w:fill="99CCCC"/>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sz w:val="24"/>
                <w:szCs w:val="24"/>
                <w:lang w:eastAsia="en-GB"/>
              </w:rPr>
              <w:t>  </w:t>
            </w:r>
            <w:r w:rsidRPr="000000F7">
              <w:rPr>
                <w:rFonts w:ascii="inherit" w:eastAsia="Times New Roman" w:hAnsi="inherit" w:cs="Times New Roman"/>
                <w:b/>
                <w:bCs/>
                <w:color w:val="000000"/>
                <w:sz w:val="24"/>
                <w:szCs w:val="24"/>
                <w:bdr w:val="none" w:sz="0" w:space="0" w:color="auto" w:frame="1"/>
                <w:lang w:eastAsia="en-GB"/>
              </w:rPr>
              <w:t> 4 - 5</w:t>
            </w:r>
            <w:r w:rsidRPr="000000F7">
              <w:rPr>
                <w:rFonts w:ascii="inherit" w:eastAsia="Times New Roman" w:hAnsi="inherit" w:cs="Times New Roman"/>
                <w:sz w:val="24"/>
                <w:szCs w:val="24"/>
                <w:lang w:eastAsia="en-GB"/>
              </w:rPr>
              <w:t>    </w:t>
            </w:r>
          </w:p>
        </w:tc>
        <w:tc>
          <w:tcPr>
            <w:tcW w:w="0" w:type="auto"/>
            <w:tcBorders>
              <w:top w:val="single" w:sz="6" w:space="0" w:color="FFFFFF"/>
              <w:left w:val="single" w:sz="6" w:space="0" w:color="FFFFFF"/>
              <w:bottom w:val="single" w:sz="6" w:space="0" w:color="FFFFFF"/>
              <w:right w:val="single" w:sz="6" w:space="0" w:color="FFFFFF"/>
            </w:tcBorders>
            <w:shd w:val="clear" w:color="auto" w:fill="99CCCC"/>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sz w:val="24"/>
                <w:szCs w:val="24"/>
                <w:lang w:eastAsia="en-GB"/>
              </w:rPr>
              <w:t>  </w:t>
            </w:r>
            <w:r w:rsidRPr="000000F7">
              <w:rPr>
                <w:rFonts w:ascii="inherit" w:eastAsia="Times New Roman" w:hAnsi="inherit" w:cs="Times New Roman"/>
                <w:b/>
                <w:bCs/>
                <w:color w:val="000000"/>
                <w:sz w:val="24"/>
                <w:szCs w:val="24"/>
                <w:bdr w:val="none" w:sz="0" w:space="0" w:color="auto" w:frame="1"/>
                <w:lang w:eastAsia="en-GB"/>
              </w:rPr>
              <w:t> 5 - 6</w:t>
            </w:r>
            <w:r w:rsidRPr="000000F7">
              <w:rPr>
                <w:rFonts w:ascii="inherit" w:eastAsia="Times New Roman" w:hAnsi="inherit" w:cs="Times New Roman"/>
                <w:sz w:val="24"/>
                <w:szCs w:val="24"/>
                <w:lang w:eastAsia="en-GB"/>
              </w:rPr>
              <w:t>   </w:t>
            </w:r>
          </w:p>
        </w:tc>
        <w:tc>
          <w:tcPr>
            <w:tcW w:w="0" w:type="auto"/>
            <w:tcBorders>
              <w:top w:val="single" w:sz="6" w:space="0" w:color="FFFFFF"/>
              <w:left w:val="single" w:sz="6" w:space="0" w:color="FFFFFF"/>
              <w:bottom w:val="single" w:sz="6" w:space="0" w:color="FFFFFF"/>
              <w:right w:val="single" w:sz="6" w:space="0" w:color="FFFFFF"/>
            </w:tcBorders>
            <w:shd w:val="clear" w:color="auto" w:fill="99CCCC"/>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6 - 7  </w:t>
            </w:r>
          </w:p>
        </w:tc>
      </w:tr>
      <w:tr w:rsidR="000000F7" w:rsidRPr="000000F7" w:rsidTr="000000F7">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Tax reduced by </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0%    </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20%  </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40%</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60%</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80%   </w:t>
            </w:r>
          </w:p>
        </w:tc>
      </w:tr>
    </w:tbl>
    <w:p w:rsidR="000000F7" w:rsidRPr="000000F7" w:rsidRDefault="000000F7" w:rsidP="000000F7">
      <w:pPr>
        <w:spacing w:after="0" w:line="240" w:lineRule="auto"/>
        <w:textAlignment w:val="baseline"/>
        <w:rPr>
          <w:rFonts w:ascii="inherit" w:eastAsia="Times New Roman" w:hAnsi="inherit" w:cs="Arial"/>
          <w:color w:val="706F6F"/>
          <w:sz w:val="18"/>
          <w:szCs w:val="18"/>
          <w:lang w:eastAsia="en-GB"/>
        </w:rPr>
      </w:pPr>
      <w:r w:rsidRPr="000000F7">
        <w:rPr>
          <w:rFonts w:ascii="inherit" w:eastAsia="Times New Roman" w:hAnsi="inherit" w:cs="Arial"/>
          <w:color w:val="706F6F"/>
          <w:sz w:val="18"/>
          <w:szCs w:val="18"/>
          <w:lang w:eastAsia="en-GB"/>
        </w:rPr>
        <w:t> </w:t>
      </w:r>
    </w:p>
    <w:tbl>
      <w:tblPr>
        <w:tblW w:w="0" w:type="auto"/>
        <w:tblCellSpacing w:w="0" w:type="dxa"/>
        <w:tblCellMar>
          <w:left w:w="0" w:type="dxa"/>
          <w:right w:w="0" w:type="dxa"/>
        </w:tblCellMar>
        <w:tblLook w:val="04A0" w:firstRow="1" w:lastRow="0" w:firstColumn="1" w:lastColumn="0" w:noHBand="0" w:noVBand="1"/>
      </w:tblPr>
      <w:tblGrid>
        <w:gridCol w:w="6625"/>
        <w:gridCol w:w="1877"/>
      </w:tblGrid>
      <w:tr w:rsidR="000000F7" w:rsidRPr="000000F7" w:rsidTr="000000F7">
        <w:trPr>
          <w:tblCellSpacing w:w="0" w:type="dxa"/>
        </w:trPr>
        <w:tc>
          <w:tcPr>
            <w:tcW w:w="0" w:type="auto"/>
            <w:gridSpan w:val="2"/>
            <w:tcBorders>
              <w:top w:val="single" w:sz="6" w:space="0" w:color="FFFFFF"/>
              <w:left w:val="single" w:sz="6" w:space="0" w:color="FFFFFF"/>
              <w:bottom w:val="single" w:sz="6" w:space="0" w:color="FFFFFF"/>
              <w:right w:val="single" w:sz="6" w:space="0" w:color="FFFFFF"/>
            </w:tcBorders>
            <w:shd w:val="clear" w:color="auto" w:fill="99CCCC"/>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Business Property Reliefs</w:t>
            </w:r>
          </w:p>
        </w:tc>
      </w:tr>
      <w:tr w:rsidR="000000F7" w:rsidRPr="000000F7" w:rsidTr="000000F7">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Business or interest  therein</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100% </w:t>
            </w:r>
          </w:p>
        </w:tc>
      </w:tr>
      <w:tr w:rsidR="000000F7" w:rsidRPr="000000F7" w:rsidTr="000000F7">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Qualifying shareholdings AIM listed &amp; unquoted companies     </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100%</w:t>
            </w:r>
          </w:p>
        </w:tc>
      </w:tr>
      <w:tr w:rsidR="000000F7" w:rsidRPr="000000F7" w:rsidTr="000000F7">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Assets (Land &amp; Buildings, Plant &amp; Machinery) used by or in</w:t>
            </w:r>
          </w:p>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the transferors' controlled partnership or company</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50%</w:t>
            </w:r>
          </w:p>
        </w:tc>
      </w:tr>
      <w:tr w:rsidR="000000F7" w:rsidRPr="000000F7" w:rsidTr="000000F7">
        <w:trPr>
          <w:tblCellSpacing w:w="0" w:type="dxa"/>
        </w:trPr>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Agricultural property *</w:t>
            </w:r>
          </w:p>
        </w:tc>
        <w:tc>
          <w:tcPr>
            <w:tcW w:w="0" w:type="auto"/>
            <w:tcBorders>
              <w:top w:val="single" w:sz="6" w:space="0" w:color="FFFFFF"/>
              <w:left w:val="single" w:sz="6" w:space="0" w:color="FFFFFF"/>
              <w:bottom w:val="single" w:sz="6" w:space="0" w:color="FFFFFF"/>
              <w:right w:val="single" w:sz="6" w:space="0" w:color="FFFFFF"/>
            </w:tcBorders>
            <w:shd w:val="clear" w:color="auto" w:fill="CCFFFF"/>
            <w:vAlign w:val="bottom"/>
            <w:hideMark/>
          </w:tcPr>
          <w:p w:rsidR="000000F7" w:rsidRPr="000000F7" w:rsidRDefault="000000F7" w:rsidP="000000F7">
            <w:pPr>
              <w:spacing w:after="0" w:line="240" w:lineRule="auto"/>
              <w:jc w:val="center"/>
              <w:rPr>
                <w:rFonts w:ascii="inherit" w:eastAsia="Times New Roman" w:hAnsi="inherit" w:cs="Times New Roman"/>
                <w:sz w:val="24"/>
                <w:szCs w:val="24"/>
                <w:lang w:eastAsia="en-GB"/>
              </w:rPr>
            </w:pPr>
            <w:r w:rsidRPr="000000F7">
              <w:rPr>
                <w:rFonts w:ascii="inherit" w:eastAsia="Times New Roman" w:hAnsi="inherit" w:cs="Times New Roman"/>
                <w:b/>
                <w:bCs/>
                <w:color w:val="000000"/>
                <w:sz w:val="24"/>
                <w:szCs w:val="24"/>
                <w:bdr w:val="none" w:sz="0" w:space="0" w:color="auto" w:frame="1"/>
                <w:lang w:eastAsia="en-GB"/>
              </w:rPr>
              <w:t>    50% or 100%   </w:t>
            </w:r>
          </w:p>
        </w:tc>
      </w:tr>
    </w:tbl>
    <w:p w:rsidR="000000F7" w:rsidRDefault="000000F7" w:rsidP="000000F7">
      <w:pPr>
        <w:spacing w:after="0" w:line="240" w:lineRule="auto"/>
        <w:textAlignment w:val="baseline"/>
        <w:rPr>
          <w:rFonts w:ascii="inherit" w:eastAsia="Times New Roman" w:hAnsi="inherit" w:cs="Arial"/>
          <w:color w:val="706F6F"/>
          <w:sz w:val="18"/>
          <w:szCs w:val="18"/>
          <w:lang w:eastAsia="en-GB"/>
        </w:rPr>
      </w:pPr>
    </w:p>
    <w:p w:rsidR="000000F7" w:rsidRDefault="000000F7" w:rsidP="000000F7">
      <w:pPr>
        <w:spacing w:after="0" w:line="240" w:lineRule="auto"/>
        <w:textAlignment w:val="baseline"/>
        <w:rPr>
          <w:rFonts w:ascii="inherit" w:eastAsia="Times New Roman" w:hAnsi="inherit" w:cs="Arial"/>
          <w:color w:val="706F6F"/>
          <w:sz w:val="18"/>
          <w:szCs w:val="18"/>
          <w:lang w:eastAsia="en-GB"/>
        </w:rPr>
      </w:pPr>
    </w:p>
    <w:p w:rsidR="000000F7" w:rsidRPr="000000F7" w:rsidRDefault="000000F7" w:rsidP="000000F7">
      <w:pPr>
        <w:spacing w:after="0" w:line="240" w:lineRule="auto"/>
        <w:textAlignment w:val="baseline"/>
        <w:rPr>
          <w:rFonts w:ascii="inherit" w:eastAsia="Times New Roman" w:hAnsi="inherit" w:cs="Arial"/>
          <w:color w:val="706F6F"/>
          <w:sz w:val="18"/>
          <w:szCs w:val="18"/>
          <w:lang w:eastAsia="en-GB"/>
        </w:rPr>
      </w:pPr>
      <w:r w:rsidRPr="000000F7">
        <w:rPr>
          <w:rFonts w:ascii="inherit" w:eastAsia="Times New Roman" w:hAnsi="inherit" w:cs="Arial"/>
          <w:color w:val="706F6F"/>
          <w:sz w:val="18"/>
          <w:szCs w:val="18"/>
          <w:lang w:eastAsia="en-GB"/>
        </w:rPr>
        <w:t> </w:t>
      </w:r>
    </w:p>
    <w:p w:rsidR="000000F7" w:rsidRPr="000000F7" w:rsidRDefault="000000F7" w:rsidP="000000F7">
      <w:pPr>
        <w:spacing w:after="0"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*Either 100% or 50%.</w:t>
      </w:r>
    </w:p>
    <w:p w:rsidR="000000F7" w:rsidRPr="000000F7" w:rsidRDefault="000000F7" w:rsidP="000000F7">
      <w:pPr>
        <w:spacing w:after="0"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Agricultural relief is due at 100% if</w:t>
      </w:r>
    </w:p>
    <w:p w:rsidR="000000F7" w:rsidRPr="000000F7" w:rsidRDefault="000000F7" w:rsidP="000000F7">
      <w:pPr>
        <w:numPr>
          <w:ilvl w:val="0"/>
          <w:numId w:val="2"/>
        </w:numPr>
        <w:spacing w:beforeAutospacing="1" w:after="0" w:afterAutospacing="1"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lastRenderedPageBreak/>
        <w:t>immediately before the transfer the transferor had the right to vacant possession of the property or the right to obtain it within the next twelve months, or</w:t>
      </w:r>
    </w:p>
    <w:p w:rsidR="000000F7" w:rsidRPr="000000F7" w:rsidRDefault="000000F7" w:rsidP="000000F7">
      <w:pPr>
        <w:numPr>
          <w:ilvl w:val="0"/>
          <w:numId w:val="2"/>
        </w:numPr>
        <w:spacing w:beforeAutospacing="1" w:after="0" w:afterAutospacing="1"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land was let on a </w:t>
      </w:r>
      <w:hyperlink r:id="rId7" w:anchor="Grazinglicence" w:tgtFrame="_blank" w:history="1">
        <w:r w:rsidRPr="000000F7">
          <w:rPr>
            <w:rFonts w:ascii="inherit" w:eastAsia="Times New Roman" w:hAnsi="inherit" w:cs="Arial"/>
            <w:b/>
            <w:bCs/>
            <w:color w:val="000000"/>
            <w:u w:val="single"/>
            <w:bdr w:val="none" w:sz="0" w:space="0" w:color="auto" w:frame="1"/>
            <w:lang w:eastAsia="en-GB"/>
          </w:rPr>
          <w:t>grazing licence</w:t>
        </w:r>
      </w:hyperlink>
    </w:p>
    <w:p w:rsidR="000000F7" w:rsidRPr="000000F7" w:rsidRDefault="000000F7" w:rsidP="000000F7">
      <w:pPr>
        <w:numPr>
          <w:ilvl w:val="0"/>
          <w:numId w:val="2"/>
        </w:numPr>
        <w:spacing w:beforeAutospacing="1" w:after="0" w:afterAutospacing="1"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property is let on a tenancy beginning on or after 1 September 1995, or</w:t>
      </w:r>
    </w:p>
    <w:p w:rsidR="000000F7" w:rsidRPr="000000F7" w:rsidRDefault="000000F7" w:rsidP="000000F7">
      <w:pPr>
        <w:numPr>
          <w:ilvl w:val="0"/>
          <w:numId w:val="2"/>
        </w:numPr>
        <w:spacing w:beforeAutospacing="1" w:after="0" w:afterAutospacing="1"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the </w:t>
      </w:r>
      <w:hyperlink r:id="rId8" w:anchor="8" w:tgtFrame="_blank" w:history="1">
        <w:r w:rsidRPr="000000F7">
          <w:rPr>
            <w:rFonts w:ascii="inherit" w:eastAsia="Times New Roman" w:hAnsi="inherit" w:cs="Arial"/>
            <w:b/>
            <w:bCs/>
            <w:color w:val="000000"/>
            <w:u w:val="single"/>
            <w:bdr w:val="none" w:sz="0" w:space="0" w:color="auto" w:frame="1"/>
            <w:lang w:eastAsia="en-GB"/>
          </w:rPr>
          <w:t>transitional provisions</w:t>
        </w:r>
      </w:hyperlink>
      <w:r w:rsidRPr="000000F7">
        <w:rPr>
          <w:rFonts w:ascii="inherit" w:eastAsia="Times New Roman" w:hAnsi="inherit" w:cs="Arial"/>
          <w:b/>
          <w:bCs/>
          <w:color w:val="000000"/>
          <w:bdr w:val="none" w:sz="0" w:space="0" w:color="auto" w:frame="1"/>
          <w:lang w:eastAsia="en-GB"/>
        </w:rPr>
        <w:t> for let property apply</w:t>
      </w:r>
    </w:p>
    <w:p w:rsidR="000000F7" w:rsidRPr="000000F7" w:rsidRDefault="000000F7" w:rsidP="000000F7">
      <w:pPr>
        <w:spacing w:after="0"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Relief is due at a lower rate of 50% in any other case (principally where property is let on a tenancy granted before 1 September 1995 and the transitional provisions do not apply).</w:t>
      </w:r>
    </w:p>
    <w:p w:rsidR="000000F7" w:rsidRPr="000000F7" w:rsidRDefault="000000F7" w:rsidP="000000F7">
      <w:pPr>
        <w:spacing w:after="0"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t xml:space="preserve">The value of any lifetime transfers made within seven years of death and not covered by the above exemptions and allowances will be added back to the value of the estate, when the estate is charged to tax. The value added back will be </w:t>
      </w:r>
      <w:proofErr w:type="spellStart"/>
      <w:r w:rsidRPr="000000F7">
        <w:rPr>
          <w:rFonts w:ascii="inherit" w:eastAsia="Times New Roman" w:hAnsi="inherit" w:cs="Arial"/>
          <w:b/>
          <w:bCs/>
          <w:color w:val="000000"/>
          <w:bdr w:val="none" w:sz="0" w:space="0" w:color="auto" w:frame="1"/>
          <w:lang w:eastAsia="en-GB"/>
        </w:rPr>
        <w:t>dependant</w:t>
      </w:r>
      <w:proofErr w:type="spellEnd"/>
      <w:r w:rsidRPr="000000F7">
        <w:rPr>
          <w:rFonts w:ascii="inherit" w:eastAsia="Times New Roman" w:hAnsi="inherit" w:cs="Arial"/>
          <w:b/>
          <w:bCs/>
          <w:color w:val="000000"/>
          <w:bdr w:val="none" w:sz="0" w:space="0" w:color="auto" w:frame="1"/>
          <w:lang w:eastAsia="en-GB"/>
        </w:rPr>
        <w:t xml:space="preserve"> on when it was made, the table below the appropriate calculations:-</w:t>
      </w:r>
    </w:p>
    <w:p w:rsidR="000000F7" w:rsidRPr="000000F7" w:rsidRDefault="000000F7" w:rsidP="000000F7">
      <w:pPr>
        <w:spacing w:after="0" w:line="240" w:lineRule="auto"/>
        <w:textAlignment w:val="baseline"/>
        <w:rPr>
          <w:rFonts w:ascii="Arial" w:eastAsia="Times New Roman" w:hAnsi="Arial" w:cs="Arial"/>
          <w:color w:val="706F6F"/>
          <w:lang w:eastAsia="en-GB"/>
        </w:rPr>
      </w:pPr>
      <w:r w:rsidRPr="000000F7">
        <w:rPr>
          <w:rFonts w:ascii="inherit" w:eastAsia="Times New Roman" w:hAnsi="inherit" w:cs="Arial"/>
          <w:b/>
          <w:bCs/>
          <w:color w:val="000000"/>
          <w:bdr w:val="none" w:sz="0" w:space="0" w:color="auto" w:frame="1"/>
          <w:lang w:eastAsia="en-GB"/>
        </w:rPr>
        <w:br/>
      </w:r>
    </w:p>
    <w:p w:rsidR="000000F7" w:rsidRDefault="000000F7" w:rsidP="000000F7">
      <w:pPr>
        <w:spacing w:after="0" w:line="240" w:lineRule="auto"/>
        <w:textAlignment w:val="baseline"/>
        <w:rPr>
          <w:rFonts w:ascii="inherit" w:eastAsia="Times New Roman" w:hAnsi="inherit" w:cs="Arial"/>
          <w:b/>
          <w:bCs/>
          <w:color w:val="000000"/>
          <w:bdr w:val="none" w:sz="0" w:space="0" w:color="auto" w:frame="1"/>
          <w:lang w:eastAsia="en-GB"/>
        </w:rPr>
      </w:pPr>
      <w:r w:rsidRPr="000000F7">
        <w:rPr>
          <w:rFonts w:ascii="inherit" w:eastAsia="Times New Roman" w:hAnsi="inherit" w:cs="Arial"/>
          <w:b/>
          <w:bCs/>
          <w:color w:val="000000"/>
          <w:bdr w:val="none" w:sz="0" w:space="0" w:color="auto" w:frame="1"/>
          <w:lang w:eastAsia="en-GB"/>
        </w:rPr>
        <w:t>Many parents decide to transfer their home to their children and remain living in it to avoid any IHT liability on death. It is always wise to consider the fact that should your child pre-decease you; their share of the property will fall into their estimate and any beneficiary may wish to initiate the s</w:t>
      </w:r>
      <w:r>
        <w:rPr>
          <w:rFonts w:ascii="inherit" w:eastAsia="Times New Roman" w:hAnsi="inherit" w:cs="Arial"/>
          <w:b/>
          <w:bCs/>
          <w:color w:val="000000"/>
          <w:bdr w:val="none" w:sz="0" w:space="0" w:color="auto" w:frame="1"/>
          <w:lang w:eastAsia="en-GB"/>
        </w:rPr>
        <w:t>ale of the property. Legal advic</w:t>
      </w:r>
      <w:r w:rsidRPr="000000F7">
        <w:rPr>
          <w:rFonts w:ascii="inherit" w:eastAsia="Times New Roman" w:hAnsi="inherit" w:cs="Arial"/>
          <w:b/>
          <w:bCs/>
          <w:color w:val="000000"/>
          <w:bdr w:val="none" w:sz="0" w:space="0" w:color="auto" w:frame="1"/>
          <w:lang w:eastAsia="en-GB"/>
        </w:rPr>
        <w:t>e should always be sought when considering such a move. </w:t>
      </w:r>
    </w:p>
    <w:p w:rsidR="008A2E2E" w:rsidRPr="000000F7" w:rsidRDefault="008A2E2E" w:rsidP="000000F7">
      <w:pPr>
        <w:spacing w:after="0" w:line="240" w:lineRule="auto"/>
        <w:textAlignment w:val="baseline"/>
        <w:rPr>
          <w:rFonts w:ascii="Arial" w:eastAsia="Times New Roman" w:hAnsi="Arial" w:cs="Arial"/>
          <w:color w:val="706F6F"/>
          <w:lang w:eastAsia="en-GB"/>
        </w:rPr>
      </w:pPr>
    </w:p>
    <w:p w:rsidR="00580833" w:rsidRDefault="008A2E2E">
      <w:r>
        <w:rPr>
          <w:noProof/>
          <w:lang w:eastAsia="en-GB"/>
        </w:rPr>
        <w:drawing>
          <wp:anchor distT="0" distB="0" distL="114300" distR="114300" simplePos="0" relativeHeight="251660288" behindDoc="0" locked="0" layoutInCell="1" allowOverlap="1" wp14:anchorId="7FDCBB9D" wp14:editId="521663CE">
            <wp:simplePos x="0" y="0"/>
            <wp:positionH relativeFrom="column">
              <wp:posOffset>4431665</wp:posOffset>
            </wp:positionH>
            <wp:positionV relativeFrom="paragraph">
              <wp:posOffset>74295</wp:posOffset>
            </wp:positionV>
            <wp:extent cx="1247775" cy="135953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ail Logo.jpg"/>
                    <pic:cNvPicPr/>
                  </pic:nvPicPr>
                  <pic:blipFill>
                    <a:blip r:embed="rId9">
                      <a:extLst>
                        <a:ext uri="{28A0092B-C50C-407E-A947-70E740481C1C}">
                          <a14:useLocalDpi xmlns:a14="http://schemas.microsoft.com/office/drawing/2010/main" val="0"/>
                        </a:ext>
                      </a:extLst>
                    </a:blip>
                    <a:stretch>
                      <a:fillRect/>
                    </a:stretch>
                  </pic:blipFill>
                  <pic:spPr>
                    <a:xfrm>
                      <a:off x="0" y="0"/>
                      <a:ext cx="1247775" cy="1359535"/>
                    </a:xfrm>
                    <a:prstGeom prst="rect">
                      <a:avLst/>
                    </a:prstGeom>
                  </pic:spPr>
                </pic:pic>
              </a:graphicData>
            </a:graphic>
            <wp14:sizeRelH relativeFrom="page">
              <wp14:pctWidth>0</wp14:pctWidth>
            </wp14:sizeRelH>
            <wp14:sizeRelV relativeFrom="page">
              <wp14:pctHeight>0</wp14:pctHeight>
            </wp14:sizeRelV>
          </wp:anchor>
        </w:drawing>
      </w:r>
    </w:p>
    <w:p w:rsidR="008A2E2E" w:rsidRDefault="000000F7">
      <w:r>
        <w:tab/>
      </w:r>
      <w:r>
        <w:tab/>
      </w:r>
      <w:r>
        <w:tab/>
      </w:r>
      <w:r>
        <w:tab/>
      </w:r>
      <w:r>
        <w:tab/>
      </w:r>
      <w:r>
        <w:tab/>
      </w:r>
      <w:r>
        <w:tab/>
      </w:r>
      <w:r>
        <w:tab/>
      </w:r>
      <w:r>
        <w:tab/>
      </w:r>
      <w:r>
        <w:tab/>
      </w:r>
    </w:p>
    <w:p w:rsidR="008A2E2E" w:rsidRDefault="008A2E2E"/>
    <w:p w:rsidR="008A2E2E" w:rsidRDefault="008A2E2E">
      <w:bookmarkStart w:id="0" w:name="_GoBack"/>
      <w:bookmarkEnd w:id="0"/>
    </w:p>
    <w:p w:rsidR="000000F7" w:rsidRDefault="000000F7"/>
    <w:p w:rsidR="000000F7" w:rsidRDefault="000000F7" w:rsidP="000000F7">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4117340</wp:posOffset>
                </wp:positionH>
                <wp:positionV relativeFrom="paragraph">
                  <wp:posOffset>73659</wp:posOffset>
                </wp:positionV>
                <wp:extent cx="1914525" cy="18573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914525" cy="1857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F7" w:rsidRPr="000000F7" w:rsidRDefault="000000F7" w:rsidP="000000F7">
                            <w:pPr>
                              <w:spacing w:after="0"/>
                              <w:jc w:val="center"/>
                              <w:rPr>
                                <w:b/>
                                <w:sz w:val="28"/>
                                <w:szCs w:val="28"/>
                              </w:rPr>
                            </w:pPr>
                            <w:r w:rsidRPr="000000F7">
                              <w:rPr>
                                <w:b/>
                                <w:sz w:val="28"/>
                                <w:szCs w:val="28"/>
                              </w:rPr>
                              <w:t>ACCOUNTANTS &amp;</w:t>
                            </w:r>
                          </w:p>
                          <w:p w:rsidR="000000F7" w:rsidRDefault="000000F7" w:rsidP="000000F7">
                            <w:pPr>
                              <w:spacing w:after="0"/>
                              <w:jc w:val="center"/>
                              <w:rPr>
                                <w:b/>
                                <w:sz w:val="28"/>
                                <w:szCs w:val="28"/>
                              </w:rPr>
                            </w:pPr>
                            <w:r w:rsidRPr="000000F7">
                              <w:rPr>
                                <w:b/>
                                <w:sz w:val="28"/>
                                <w:szCs w:val="28"/>
                              </w:rPr>
                              <w:t>BUSINESS ADVISORS</w:t>
                            </w:r>
                          </w:p>
                          <w:p w:rsidR="000000F7" w:rsidRPr="000000F7" w:rsidRDefault="000000F7" w:rsidP="000000F7">
                            <w:pPr>
                              <w:spacing w:after="0"/>
                              <w:jc w:val="center"/>
                              <w:rPr>
                                <w:b/>
                                <w:sz w:val="12"/>
                                <w:szCs w:val="12"/>
                              </w:rPr>
                            </w:pPr>
                          </w:p>
                          <w:p w:rsidR="000000F7" w:rsidRPr="000000F7" w:rsidRDefault="000000F7" w:rsidP="000000F7">
                            <w:pPr>
                              <w:spacing w:after="0"/>
                              <w:jc w:val="center"/>
                              <w:rPr>
                                <w:i/>
                              </w:rPr>
                            </w:pPr>
                            <w:r w:rsidRPr="000000F7">
                              <w:rPr>
                                <w:i/>
                              </w:rPr>
                              <w:t>“Friendly &amp; straightforward</w:t>
                            </w:r>
                          </w:p>
                          <w:p w:rsidR="000000F7" w:rsidRPr="000000F7" w:rsidRDefault="00725735" w:rsidP="000000F7">
                            <w:pPr>
                              <w:spacing w:after="0"/>
                              <w:jc w:val="center"/>
                              <w:rPr>
                                <w:i/>
                              </w:rPr>
                            </w:pPr>
                            <w:proofErr w:type="gramStart"/>
                            <w:r>
                              <w:rPr>
                                <w:i/>
                              </w:rPr>
                              <w:t>p</w:t>
                            </w:r>
                            <w:r w:rsidR="000000F7" w:rsidRPr="000000F7">
                              <w:rPr>
                                <w:i/>
                              </w:rPr>
                              <w:t>rofessional</w:t>
                            </w:r>
                            <w:proofErr w:type="gramEnd"/>
                            <w:r w:rsidR="000000F7" w:rsidRPr="000000F7">
                              <w:rPr>
                                <w:i/>
                              </w:rPr>
                              <w:t xml:space="preserve"> business services”</w:t>
                            </w:r>
                          </w:p>
                          <w:p w:rsidR="000000F7" w:rsidRPr="000000F7" w:rsidRDefault="000000F7" w:rsidP="000000F7">
                            <w:pPr>
                              <w:spacing w:after="0"/>
                              <w:rPr>
                                <w:sz w:val="12"/>
                                <w:szCs w:val="12"/>
                              </w:rPr>
                            </w:pPr>
                          </w:p>
                          <w:p w:rsidR="000000F7" w:rsidRDefault="000000F7" w:rsidP="000000F7">
                            <w:pPr>
                              <w:spacing w:after="0"/>
                              <w:jc w:val="center"/>
                            </w:pPr>
                            <w:r>
                              <w:t>Tel: 0113 418 2085</w:t>
                            </w:r>
                          </w:p>
                          <w:p w:rsidR="000000F7" w:rsidRDefault="000000F7" w:rsidP="000000F7">
                            <w:pPr>
                              <w:spacing w:after="0"/>
                              <w:jc w:val="center"/>
                            </w:pPr>
                            <w:r>
                              <w:t>www.sumassistance.co.uk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4.2pt;margin-top:5.8pt;width:150.75pt;height:14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" fillcolor="white [3201]" stroked="f" strokeweight=".5pt">
                <v:textbox>
                  <w:txbxContent>
                    <w:p w:rsidR="000000F7" w:rsidRPr="000000F7" w:rsidRDefault="000000F7" w:rsidP="000000F7">
                      <w:pPr>
                        <w:spacing w:after="0"/>
                        <w:jc w:val="center"/>
                        <w:rPr>
                          <w:b/>
                          <w:sz w:val="28"/>
                          <w:szCs w:val="28"/>
                        </w:rPr>
                      </w:pPr>
                      <w:r w:rsidRPr="000000F7">
                        <w:rPr>
                          <w:b/>
                          <w:sz w:val="28"/>
                          <w:szCs w:val="28"/>
                        </w:rPr>
                        <w:t>ACCOUNTANTS &amp;</w:t>
                      </w:r>
                    </w:p>
                    <w:p w:rsidR="000000F7" w:rsidRDefault="000000F7" w:rsidP="000000F7">
                      <w:pPr>
                        <w:spacing w:after="0"/>
                        <w:jc w:val="center"/>
                        <w:rPr>
                          <w:b/>
                          <w:sz w:val="28"/>
                          <w:szCs w:val="28"/>
                        </w:rPr>
                      </w:pPr>
                      <w:r w:rsidRPr="000000F7">
                        <w:rPr>
                          <w:b/>
                          <w:sz w:val="28"/>
                          <w:szCs w:val="28"/>
                        </w:rPr>
                        <w:t>BUSINESS ADVISORS</w:t>
                      </w:r>
                    </w:p>
                    <w:p w:rsidR="000000F7" w:rsidRPr="000000F7" w:rsidRDefault="000000F7" w:rsidP="000000F7">
                      <w:pPr>
                        <w:spacing w:after="0"/>
                        <w:jc w:val="center"/>
                        <w:rPr>
                          <w:b/>
                          <w:sz w:val="12"/>
                          <w:szCs w:val="12"/>
                        </w:rPr>
                      </w:pPr>
                    </w:p>
                    <w:p w:rsidR="000000F7" w:rsidRPr="000000F7" w:rsidRDefault="000000F7" w:rsidP="000000F7">
                      <w:pPr>
                        <w:spacing w:after="0"/>
                        <w:jc w:val="center"/>
                        <w:rPr>
                          <w:i/>
                        </w:rPr>
                      </w:pPr>
                      <w:r w:rsidRPr="000000F7">
                        <w:rPr>
                          <w:i/>
                        </w:rPr>
                        <w:t>“Friendly &amp; straightforward</w:t>
                      </w:r>
                    </w:p>
                    <w:p w:rsidR="000000F7" w:rsidRPr="000000F7" w:rsidRDefault="00725735" w:rsidP="000000F7">
                      <w:pPr>
                        <w:spacing w:after="0"/>
                        <w:jc w:val="center"/>
                        <w:rPr>
                          <w:i/>
                        </w:rPr>
                      </w:pPr>
                      <w:proofErr w:type="gramStart"/>
                      <w:r>
                        <w:rPr>
                          <w:i/>
                        </w:rPr>
                        <w:t>p</w:t>
                      </w:r>
                      <w:r w:rsidR="000000F7" w:rsidRPr="000000F7">
                        <w:rPr>
                          <w:i/>
                        </w:rPr>
                        <w:t>rofessional</w:t>
                      </w:r>
                      <w:proofErr w:type="gramEnd"/>
                      <w:r w:rsidR="000000F7" w:rsidRPr="000000F7">
                        <w:rPr>
                          <w:i/>
                        </w:rPr>
                        <w:t xml:space="preserve"> business services”</w:t>
                      </w:r>
                    </w:p>
                    <w:p w:rsidR="000000F7" w:rsidRPr="000000F7" w:rsidRDefault="000000F7" w:rsidP="000000F7">
                      <w:pPr>
                        <w:spacing w:after="0"/>
                        <w:rPr>
                          <w:sz w:val="12"/>
                          <w:szCs w:val="12"/>
                        </w:rPr>
                      </w:pPr>
                    </w:p>
                    <w:p w:rsidR="000000F7" w:rsidRDefault="000000F7" w:rsidP="000000F7">
                      <w:pPr>
                        <w:spacing w:after="0"/>
                        <w:jc w:val="center"/>
                      </w:pPr>
                      <w:r>
                        <w:t>Tel: 0113 418 2085</w:t>
                      </w:r>
                    </w:p>
                    <w:p w:rsidR="000000F7" w:rsidRDefault="000000F7" w:rsidP="000000F7">
                      <w:pPr>
                        <w:spacing w:after="0"/>
                        <w:jc w:val="center"/>
                      </w:pPr>
                      <w:r>
                        <w:t>www.sumassistance.co.uk</w:t>
                      </w:r>
                    </w:p>
                  </w:txbxContent>
                </v:textbox>
              </v:shape>
            </w:pict>
          </mc:Fallback>
        </mc:AlternateContent>
      </w:r>
    </w:p>
    <w:p w:rsidR="000000F7" w:rsidRPr="000000F7" w:rsidRDefault="000000F7" w:rsidP="000000F7">
      <w:pPr>
        <w:tabs>
          <w:tab w:val="left" w:pos="6435"/>
        </w:tabs>
      </w:pPr>
      <w:r>
        <w:tab/>
      </w:r>
      <w:r>
        <w:tab/>
      </w:r>
    </w:p>
    <w:sectPr w:rsidR="000000F7" w:rsidRPr="000000F7" w:rsidSect="000000F7">
      <w:pgSz w:w="11906" w:h="16838"/>
      <w:pgMar w:top="567" w:right="1133"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043097"/>
    <w:multiLevelType w:val="multilevel"/>
    <w:tmpl w:val="8EF4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865E1E"/>
    <w:multiLevelType w:val="multilevel"/>
    <w:tmpl w:val="D3A0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F7"/>
    <w:rsid w:val="000000F7"/>
    <w:rsid w:val="0034171B"/>
    <w:rsid w:val="00580833"/>
    <w:rsid w:val="00725735"/>
    <w:rsid w:val="008A2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AFB3D-12AF-427B-8D4E-6153DA8DE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608283">
      <w:bodyDiv w:val="1"/>
      <w:marLeft w:val="0"/>
      <w:marRight w:val="0"/>
      <w:marTop w:val="0"/>
      <w:marBottom w:val="0"/>
      <w:divBdr>
        <w:top w:val="none" w:sz="0" w:space="0" w:color="auto"/>
        <w:left w:val="none" w:sz="0" w:space="0" w:color="auto"/>
        <w:bottom w:val="none" w:sz="0" w:space="0" w:color="auto"/>
        <w:right w:val="none" w:sz="0" w:space="0" w:color="auto"/>
      </w:divBdr>
      <w:divsChild>
        <w:div w:id="1909993790">
          <w:marLeft w:val="0"/>
          <w:marRight w:val="0"/>
          <w:marTop w:val="0"/>
          <w:marBottom w:val="0"/>
          <w:divBdr>
            <w:top w:val="none" w:sz="0" w:space="0" w:color="auto"/>
            <w:left w:val="none" w:sz="0" w:space="0" w:color="auto"/>
            <w:bottom w:val="none" w:sz="0" w:space="0" w:color="auto"/>
            <w:right w:val="none" w:sz="0" w:space="0" w:color="auto"/>
          </w:divBdr>
        </w:div>
        <w:div w:id="80757401">
          <w:marLeft w:val="0"/>
          <w:marRight w:val="0"/>
          <w:marTop w:val="0"/>
          <w:marBottom w:val="0"/>
          <w:divBdr>
            <w:top w:val="none" w:sz="0" w:space="0" w:color="auto"/>
            <w:left w:val="none" w:sz="0" w:space="0" w:color="auto"/>
            <w:bottom w:val="none" w:sz="0" w:space="0" w:color="auto"/>
            <w:right w:val="none" w:sz="0" w:space="0" w:color="auto"/>
          </w:divBdr>
          <w:divsChild>
            <w:div w:id="1401559409">
              <w:marLeft w:val="0"/>
              <w:marRight w:val="0"/>
              <w:marTop w:val="0"/>
              <w:marBottom w:val="0"/>
              <w:divBdr>
                <w:top w:val="none" w:sz="0" w:space="0" w:color="auto"/>
                <w:left w:val="none" w:sz="0" w:space="0" w:color="auto"/>
                <w:bottom w:val="none" w:sz="0" w:space="0" w:color="auto"/>
                <w:right w:val="none" w:sz="0" w:space="0" w:color="auto"/>
              </w:divBdr>
              <w:divsChild>
                <w:div w:id="729503639">
                  <w:marLeft w:val="0"/>
                  <w:marRight w:val="300"/>
                  <w:marTop w:val="60"/>
                  <w:marBottom w:val="60"/>
                  <w:divBdr>
                    <w:top w:val="none" w:sz="0" w:space="0" w:color="auto"/>
                    <w:left w:val="none" w:sz="0" w:space="0" w:color="auto"/>
                    <w:bottom w:val="none" w:sz="0" w:space="0" w:color="auto"/>
                    <w:right w:val="none" w:sz="0" w:space="0" w:color="auto"/>
                  </w:divBdr>
                </w:div>
              </w:divsChild>
            </w:div>
          </w:divsChild>
        </w:div>
        <w:div w:id="1999917948">
          <w:marLeft w:val="0"/>
          <w:marRight w:val="0"/>
          <w:marTop w:val="0"/>
          <w:marBottom w:val="0"/>
          <w:divBdr>
            <w:top w:val="none" w:sz="0" w:space="0" w:color="auto"/>
            <w:left w:val="none" w:sz="0" w:space="0" w:color="auto"/>
            <w:bottom w:val="none" w:sz="0" w:space="0" w:color="auto"/>
            <w:right w:val="none" w:sz="0" w:space="0" w:color="auto"/>
          </w:divBdr>
        </w:div>
        <w:div w:id="1211962056">
          <w:marLeft w:val="0"/>
          <w:marRight w:val="0"/>
          <w:marTop w:val="0"/>
          <w:marBottom w:val="0"/>
          <w:divBdr>
            <w:top w:val="none" w:sz="0" w:space="0" w:color="auto"/>
            <w:left w:val="none" w:sz="0" w:space="0" w:color="auto"/>
            <w:bottom w:val="none" w:sz="0" w:space="0" w:color="auto"/>
            <w:right w:val="none" w:sz="0" w:space="0" w:color="auto"/>
          </w:divBdr>
          <w:divsChild>
            <w:div w:id="772016461">
              <w:marLeft w:val="0"/>
              <w:marRight w:val="0"/>
              <w:marTop w:val="0"/>
              <w:marBottom w:val="0"/>
              <w:divBdr>
                <w:top w:val="none" w:sz="0" w:space="0" w:color="auto"/>
                <w:left w:val="none" w:sz="0" w:space="0" w:color="auto"/>
                <w:bottom w:val="none" w:sz="0" w:space="0" w:color="auto"/>
                <w:right w:val="none" w:sz="0" w:space="0" w:color="auto"/>
              </w:divBdr>
              <w:divsChild>
                <w:div w:id="905605873">
                  <w:marLeft w:val="0"/>
                  <w:marRight w:val="0"/>
                  <w:marTop w:val="0"/>
                  <w:marBottom w:val="0"/>
                  <w:divBdr>
                    <w:top w:val="none" w:sz="0" w:space="0" w:color="auto"/>
                    <w:left w:val="none" w:sz="0" w:space="0" w:color="auto"/>
                    <w:bottom w:val="none" w:sz="0" w:space="0" w:color="auto"/>
                    <w:right w:val="none" w:sz="0" w:space="0" w:color="auto"/>
                  </w:divBdr>
                  <w:divsChild>
                    <w:div w:id="20785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703885">
          <w:marLeft w:val="0"/>
          <w:marRight w:val="0"/>
          <w:marTop w:val="0"/>
          <w:marBottom w:val="0"/>
          <w:divBdr>
            <w:top w:val="none" w:sz="0" w:space="0" w:color="auto"/>
            <w:left w:val="none" w:sz="0" w:space="0" w:color="auto"/>
            <w:bottom w:val="none" w:sz="0" w:space="0" w:color="auto"/>
            <w:right w:val="none" w:sz="0" w:space="0" w:color="auto"/>
          </w:divBdr>
        </w:div>
        <w:div w:id="711004570">
          <w:marLeft w:val="0"/>
          <w:marRight w:val="0"/>
          <w:marTop w:val="0"/>
          <w:marBottom w:val="0"/>
          <w:divBdr>
            <w:top w:val="none" w:sz="0" w:space="0" w:color="auto"/>
            <w:left w:val="none" w:sz="0" w:space="0" w:color="auto"/>
            <w:bottom w:val="none" w:sz="0" w:space="0" w:color="auto"/>
            <w:right w:val="none" w:sz="0" w:space="0" w:color="auto"/>
          </w:divBdr>
          <w:divsChild>
            <w:div w:id="707533056">
              <w:marLeft w:val="0"/>
              <w:marRight w:val="0"/>
              <w:marTop w:val="0"/>
              <w:marBottom w:val="0"/>
              <w:divBdr>
                <w:top w:val="none" w:sz="0" w:space="0" w:color="auto"/>
                <w:left w:val="none" w:sz="0" w:space="0" w:color="auto"/>
                <w:bottom w:val="none" w:sz="0" w:space="0" w:color="auto"/>
                <w:right w:val="none" w:sz="0" w:space="0" w:color="auto"/>
              </w:divBdr>
              <w:divsChild>
                <w:div w:id="1593273182">
                  <w:marLeft w:val="0"/>
                  <w:marRight w:val="0"/>
                  <w:marTop w:val="0"/>
                  <w:marBottom w:val="0"/>
                  <w:divBdr>
                    <w:top w:val="none" w:sz="0" w:space="0" w:color="auto"/>
                    <w:left w:val="none" w:sz="0" w:space="0" w:color="auto"/>
                    <w:bottom w:val="none" w:sz="0" w:space="0" w:color="auto"/>
                    <w:right w:val="none" w:sz="0" w:space="0" w:color="auto"/>
                  </w:divBdr>
                  <w:divsChild>
                    <w:div w:id="1930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5181">
          <w:marLeft w:val="0"/>
          <w:marRight w:val="0"/>
          <w:marTop w:val="0"/>
          <w:marBottom w:val="0"/>
          <w:divBdr>
            <w:top w:val="none" w:sz="0" w:space="0" w:color="auto"/>
            <w:left w:val="none" w:sz="0" w:space="0" w:color="auto"/>
            <w:bottom w:val="none" w:sz="0" w:space="0" w:color="auto"/>
            <w:right w:val="none" w:sz="0" w:space="0" w:color="auto"/>
          </w:divBdr>
          <w:divsChild>
            <w:div w:id="303043994">
              <w:marLeft w:val="0"/>
              <w:marRight w:val="0"/>
              <w:marTop w:val="0"/>
              <w:marBottom w:val="0"/>
              <w:divBdr>
                <w:top w:val="none" w:sz="0" w:space="0" w:color="auto"/>
                <w:left w:val="none" w:sz="0" w:space="0" w:color="auto"/>
                <w:bottom w:val="none" w:sz="0" w:space="0" w:color="auto"/>
                <w:right w:val="none" w:sz="0" w:space="0" w:color="auto"/>
              </w:divBdr>
              <w:divsChild>
                <w:div w:id="1427077866">
                  <w:marLeft w:val="0"/>
                  <w:marRight w:val="0"/>
                  <w:marTop w:val="0"/>
                  <w:marBottom w:val="0"/>
                  <w:divBdr>
                    <w:top w:val="none" w:sz="0" w:space="0" w:color="auto"/>
                    <w:left w:val="none" w:sz="0" w:space="0" w:color="auto"/>
                    <w:bottom w:val="none" w:sz="0" w:space="0" w:color="auto"/>
                    <w:right w:val="none" w:sz="0" w:space="0" w:color="auto"/>
                  </w:divBdr>
                  <w:divsChild>
                    <w:div w:id="65268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87743">
          <w:marLeft w:val="0"/>
          <w:marRight w:val="0"/>
          <w:marTop w:val="0"/>
          <w:marBottom w:val="0"/>
          <w:divBdr>
            <w:top w:val="none" w:sz="0" w:space="0" w:color="auto"/>
            <w:left w:val="none" w:sz="0" w:space="0" w:color="auto"/>
            <w:bottom w:val="none" w:sz="0" w:space="0" w:color="auto"/>
            <w:right w:val="none" w:sz="0" w:space="0" w:color="auto"/>
          </w:divBdr>
        </w:div>
        <w:div w:id="122888275">
          <w:marLeft w:val="0"/>
          <w:marRight w:val="0"/>
          <w:marTop w:val="0"/>
          <w:marBottom w:val="0"/>
          <w:divBdr>
            <w:top w:val="none" w:sz="0" w:space="0" w:color="auto"/>
            <w:left w:val="none" w:sz="0" w:space="0" w:color="auto"/>
            <w:bottom w:val="none" w:sz="0" w:space="0" w:color="auto"/>
            <w:right w:val="none" w:sz="0" w:space="0" w:color="auto"/>
          </w:divBdr>
        </w:div>
        <w:div w:id="81580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rc.gov.uk/cto/customerguide/page17.htm" TargetMode="External"/><Relationship Id="rId3" Type="http://schemas.openxmlformats.org/officeDocument/2006/relationships/settings" Target="settings.xml"/><Relationship Id="rId7" Type="http://schemas.openxmlformats.org/officeDocument/2006/relationships/hyperlink" Target="http://www.hmrc.gov.uk/cto/glossar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cismadeeasy.co.uk/s/cc_images/cache_13192154.jpg?t=1375904198"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613</Words>
  <Characters>3499</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2014-05-25T12:21:00Z</dcterms:created>
  <dcterms:modified xsi:type="dcterms:W3CDTF">2014-05-25T12:37:00Z</dcterms:modified>
</cp:coreProperties>
</file>